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Verantwoording bij het onderzoek naar beschikkingen</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rFonts w:ascii="Proxima Nova" w:cs="Proxima Nova" w:eastAsia="Proxima Nova" w:hAnsi="Proxima Nova"/>
          <w:i w:val="1"/>
        </w:rPr>
      </w:pPr>
      <w:r w:rsidDel="00000000" w:rsidR="00000000" w:rsidRPr="00000000">
        <w:rPr>
          <w:i w:val="1"/>
          <w:rtl w:val="0"/>
        </w:rPr>
        <w:t xml:space="preserve">Investico en De Groene Amsterdammer onderzochten gemeentelijke rechtsbescherming bij het aanvragen van zorg, hulp en ondersteuning. Kunnen burgers in bezwaar als ze de hulp die ze krijgen niet passend vinden?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Vorig jaar hadden meer dan 380 duizend jongeren en bijna 1,3 miljoen volwassenen zorg nodig die valt onder de Jeugdwet en de Wet maatschappelijke ondersteuning (Wmo)</w:t>
      </w:r>
      <w:r w:rsidDel="00000000" w:rsidR="00000000" w:rsidRPr="00000000">
        <w:rPr>
          <w:vertAlign w:val="superscript"/>
        </w:rPr>
        <w:footnoteReference w:customMarkFollows="0" w:id="0"/>
      </w:r>
      <w:r w:rsidDel="00000000" w:rsidR="00000000" w:rsidRPr="00000000">
        <w:rPr>
          <w:rtl w:val="0"/>
        </w:rPr>
        <w:t xml:space="preserve">.</w:t>
      </w:r>
      <w:r w:rsidDel="00000000" w:rsidR="00000000" w:rsidRPr="00000000">
        <w:rPr>
          <w:rtl w:val="0"/>
        </w:rPr>
        <w:t xml:space="preserve"> Dat gaat onder meer om jeugdhulp, individuele begeleiding voor volwassenen die anders niet zelfstandig kunnen wonen en praktische zaken zoals vervoersvoorziening en het krijgen van een rolstoel.  Sinds de decentralisatie tien jaar geleden zijn gemeenten verantwoordelijk voor deze zorg. Burgers die hulp aanvragen, moeten in de vorm van een officieel besluit horen of ze hulp zullen krijgen, en zo ja, wat voor soort hulp ze krijgen en hoeveel. Dit is wettelijk verplicht volgens de Algemene wet bestuursrecht. Zo’n officiële </w:t>
      </w:r>
      <w:r w:rsidDel="00000000" w:rsidR="00000000" w:rsidRPr="00000000">
        <w:rPr>
          <w:rtl w:val="0"/>
        </w:rPr>
        <w:t xml:space="preserve">besluitbrief</w:t>
      </w:r>
      <w:r w:rsidDel="00000000" w:rsidR="00000000" w:rsidRPr="00000000">
        <w:rPr>
          <w:rtl w:val="0"/>
        </w:rPr>
        <w:t xml:space="preserve"> van de gemeente hebben burgers nodig om bezwaar te kunnen maken, als ze ontevreden zijn over de geboden zorg, duur of aantal uren.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lokale media was hier al aandacht aan besteed. De schaal van dit probleem bleef echter onduidelijk. Daarom onderzochten </w:t>
      </w:r>
      <w:r w:rsidDel="00000000" w:rsidR="00000000" w:rsidRPr="00000000">
        <w:rPr>
          <w:i w:val="1"/>
          <w:rtl w:val="0"/>
        </w:rPr>
        <w:t xml:space="preserve">Investico</w:t>
      </w:r>
      <w:r w:rsidDel="00000000" w:rsidR="00000000" w:rsidRPr="00000000">
        <w:rPr>
          <w:rtl w:val="0"/>
        </w:rPr>
        <w:t xml:space="preserve">, </w:t>
      </w:r>
      <w:r w:rsidDel="00000000" w:rsidR="00000000" w:rsidRPr="00000000">
        <w:rPr>
          <w:i w:val="1"/>
          <w:rtl w:val="0"/>
        </w:rPr>
        <w:t xml:space="preserve">Binnenlands Bestuur</w:t>
      </w:r>
      <w:r w:rsidDel="00000000" w:rsidR="00000000" w:rsidRPr="00000000">
        <w:rPr>
          <w:rtl w:val="0"/>
        </w:rPr>
        <w:t xml:space="preserve"> en </w:t>
      </w:r>
      <w:r w:rsidDel="00000000" w:rsidR="00000000" w:rsidRPr="00000000">
        <w:rPr>
          <w:i w:val="1"/>
          <w:rtl w:val="0"/>
        </w:rPr>
        <w:t xml:space="preserve">De Groene Amsterdammer</w:t>
      </w:r>
      <w:r w:rsidDel="00000000" w:rsidR="00000000" w:rsidRPr="00000000">
        <w:rPr>
          <w:rtl w:val="0"/>
        </w:rPr>
        <w:t xml:space="preserve"> beschikkingsvrij werken in Nederland.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Uitvraag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Investico en Binnenlands Bestuur benaderden 80 gemeenten waar ‘beschikkingsvrij’ of ‘beschikkingsarm’ werken in de afgelopen jaren is besproken. Tot deze selectie zijn we gekomen na een analyse van openbare bronnen en gesprekken met geïnterviewden zoals cliëntondersteuners. Voor de analyse van openbare bronnen hebben we gezocht naar onder meer online </w:t>
      </w:r>
      <w:r w:rsidDel="00000000" w:rsidR="00000000" w:rsidRPr="00000000">
        <w:rPr>
          <w:rtl w:val="0"/>
        </w:rPr>
        <w:t xml:space="preserve">PDFs</w:t>
      </w:r>
      <w:r w:rsidDel="00000000" w:rsidR="00000000" w:rsidRPr="00000000">
        <w:rPr>
          <w:rtl w:val="0"/>
        </w:rPr>
        <w:t xml:space="preserve"> zoals raadsdocumenten, onderzoeken en jaarverslagen waarin de termen </w:t>
      </w:r>
      <w:r w:rsidDel="00000000" w:rsidR="00000000" w:rsidRPr="00000000">
        <w:rPr>
          <w:rtl w:val="0"/>
        </w:rPr>
        <w:t xml:space="preserve">‘beschikkingsvrij’</w:t>
      </w:r>
      <w:r w:rsidDel="00000000" w:rsidR="00000000" w:rsidRPr="00000000">
        <w:rPr>
          <w:rtl w:val="0"/>
        </w:rPr>
        <w:t xml:space="preserve"> of </w:t>
      </w:r>
      <w:r w:rsidDel="00000000" w:rsidR="00000000" w:rsidRPr="00000000">
        <w:rPr>
          <w:rtl w:val="0"/>
        </w:rPr>
        <w:t xml:space="preserve">‘beschikkingsarm’</w:t>
      </w:r>
      <w:r w:rsidDel="00000000" w:rsidR="00000000" w:rsidRPr="00000000">
        <w:rPr>
          <w:rtl w:val="0"/>
        </w:rPr>
        <w:t xml:space="preserve"> voorkomen. Deze documenten hebben we gelezen om de context waarin de werkwijze werd besproken of toegepast te begrijpen en te controleren of de gemeente relevant was voor onze uitvraag.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Beschikkingsvrij werken speelt voornamelijk een rol in het regelen van zorg, hulp en ondersteuning voor inwoners onder de Jeugdwet en de Wmo, blijkt uit onze documentenanalyse. Daarom hebben we ons onderzoek en de uitvraag toegespitst op </w:t>
      </w:r>
      <w:r w:rsidDel="00000000" w:rsidR="00000000" w:rsidRPr="00000000">
        <w:rPr>
          <w:rtl w:val="0"/>
        </w:rPr>
        <w:t xml:space="preserve">zorgaanvragen</w:t>
      </w:r>
      <w:r w:rsidDel="00000000" w:rsidR="00000000" w:rsidRPr="00000000">
        <w:rPr>
          <w:rtl w:val="0"/>
        </w:rPr>
        <w:t xml:space="preserve"> vanuit deze twee wetten.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Hierna hebben we de uitvraag gedaan onder de 80 geselecteerde gemeenten. Met veel gemeenten hebben we gesprekken gevoerd om het beleid per gemeente te begrijpen vanaf het begin van een </w:t>
      </w:r>
      <w:r w:rsidDel="00000000" w:rsidR="00000000" w:rsidRPr="00000000">
        <w:rPr>
          <w:rtl w:val="0"/>
        </w:rPr>
        <w:t xml:space="preserve">zorgaanvraag</w:t>
      </w:r>
      <w:r w:rsidDel="00000000" w:rsidR="00000000" w:rsidRPr="00000000">
        <w:rPr>
          <w:rtl w:val="0"/>
        </w:rPr>
        <w:t xml:space="preserve"> tot het toekennen van hulp. Een belangrijk onderscheid hierbij is de categorisering van het type hulp. Gemeenten zijn enerzijds verantwoordelijk voor het regelen van maatwerkvoorzieningen en anderzijds voor het regelen van algemene voorzieningen. Een maatwerkvoorziening is een voorziening toegesneden op het individu of gezin, zoals een traplift of persoonlijke begeleiding. Algemene voorzieningen zijn voorzieningen die voor een brede groep inwoners toegankelijk zijn, zoals een maaltijdservice of </w:t>
      </w:r>
      <w:r w:rsidDel="00000000" w:rsidR="00000000" w:rsidRPr="00000000">
        <w:rPr>
          <w:rtl w:val="0"/>
        </w:rPr>
        <w:t xml:space="preserve">dagbesteding</w:t>
      </w:r>
      <w:r w:rsidDel="00000000" w:rsidR="00000000" w:rsidRPr="00000000">
        <w:rPr>
          <w:rtl w:val="0"/>
        </w:rPr>
        <w:t xml:space="preserve"> in een buurthuis. Bij een maatwerkvoorziening is het standaard afgeven van een beschikking wettelijk verplicht. Bij een algemene voorziening hoeft een gemeente geen beschikking af te geven.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Uit onze uitvraag blijkt dat 25 gemeenten niet altijd standaard een beschikking opsturen bij verschillende soorten maatwerkvoorzieningen.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Peel en Maas</w:t>
      </w:r>
      <w:r w:rsidDel="00000000" w:rsidR="00000000" w:rsidRPr="00000000">
        <w:rPr>
          <w:rtl w:val="0"/>
        </w:rPr>
        <w:tab/>
        <w:tab/>
        <w:t xml:space="preserve"> </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Nunspeet     </w:t>
        <w:tab/>
        <w:tab/>
        <w:t xml:space="preserve"> </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Haarlem </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Beverwijk</w:t>
        <w:tab/>
        <w:tab/>
        <w:t xml:space="preserve">  </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Enschede</w:t>
        <w:tab/>
        <w:tab/>
        <w:t xml:space="preserve"> </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Roermond</w:t>
        <w:tab/>
        <w:tab/>
        <w:t xml:space="preserve"> </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Heemskerk</w:t>
        <w:tab/>
        <w:tab/>
        <w:t xml:space="preserve"> </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Heerlen</w:t>
        <w:tab/>
        <w:tab/>
        <w:t xml:space="preserve"> </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Bloemendaal </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Zandvoort </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De regio Holland Rijnland (Dit zijn 13 deelnemende gemeenten)</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Achtkarspelen</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Utrecht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De regio Holland Rijnland en de gemeente Utrecht hebben aangegeven in de komende jaren weer </w:t>
      </w:r>
      <w:r w:rsidDel="00000000" w:rsidR="00000000" w:rsidRPr="00000000">
        <w:rPr>
          <w:rtl w:val="0"/>
        </w:rPr>
        <w:t xml:space="preserve">beschikkingen</w:t>
      </w:r>
      <w:r w:rsidDel="00000000" w:rsidR="00000000" w:rsidRPr="00000000">
        <w:rPr>
          <w:rtl w:val="0"/>
        </w:rPr>
        <w:t xml:space="preserve"> te gaan afgeven. Achtkarspelen heeft de ambitie om vanaf komende maand weer met </w:t>
      </w:r>
      <w:r w:rsidDel="00000000" w:rsidR="00000000" w:rsidRPr="00000000">
        <w:rPr>
          <w:rtl w:val="0"/>
        </w:rPr>
        <w:t xml:space="preserve">beschikkingen</w:t>
      </w:r>
      <w:r w:rsidDel="00000000" w:rsidR="00000000" w:rsidRPr="00000000">
        <w:rPr>
          <w:rtl w:val="0"/>
        </w:rPr>
        <w:t xml:space="preserve"> te werken.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Uit onze uitvraag blijkt </w:t>
      </w:r>
      <w:r w:rsidDel="00000000" w:rsidR="00000000" w:rsidRPr="00000000">
        <w:rPr>
          <w:rtl w:val="0"/>
        </w:rPr>
        <w:t xml:space="preserve">hiernaast</w:t>
      </w:r>
      <w:r w:rsidDel="00000000" w:rsidR="00000000" w:rsidRPr="00000000">
        <w:rPr>
          <w:rtl w:val="0"/>
        </w:rPr>
        <w:t xml:space="preserve"> dat gemeenten vaker zorg scharen onder een algemene voorziening. Hiervoor hebben we een uitvraag gedaan naar de specifieke vormen van zorg die gemeenten onder zo’n algemene voorziening scharen. Gemeenten die traditionele collectieve zorg zoals dagbesteding en praatgroepen onder een algemene voorziening scharen, hebben we niet meegenomen in deze analyse. Zorg die wordt aangeboden als algemene voorziening waarvan experts ons vertellen dat die inhoudelijk meer lijkt op een maatwerkvoorziening - en die in andere gemeenten ook als maatwerkvoorziening wordt aangeboden - is wel meegenomen in deze analyse.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We spraken met tientallen (juridisch) experts en betrokkenen – waaronder </w:t>
      </w:r>
      <w:r w:rsidDel="00000000" w:rsidR="00000000" w:rsidRPr="00000000">
        <w:rPr>
          <w:rtl w:val="0"/>
        </w:rPr>
        <w:t xml:space="preserve">inwoners</w:t>
      </w:r>
      <w:r w:rsidDel="00000000" w:rsidR="00000000" w:rsidRPr="00000000">
        <w:rPr>
          <w:rtl w:val="0"/>
        </w:rPr>
        <w:t xml:space="preserve"> uit verschillende gemeenten, onafhankelijk cliëntondersteuners, hulpverleners, gemeenteambtenaren en advocaten om de gevolgen van beschikkingsvrij werken in kaart te brengen. Uit deze gesprekken en onze analyses blijkt dat burgers niet altijd standaard een officiële </w:t>
      </w:r>
      <w:r w:rsidDel="00000000" w:rsidR="00000000" w:rsidRPr="00000000">
        <w:rPr>
          <w:rtl w:val="0"/>
        </w:rPr>
        <w:t xml:space="preserve">besluitbrief</w:t>
      </w:r>
      <w:r w:rsidDel="00000000" w:rsidR="00000000" w:rsidRPr="00000000">
        <w:rPr>
          <w:rtl w:val="0"/>
        </w:rPr>
        <w:t xml:space="preserve"> ontvangen. Kwetsbare gezinnen lopen daardoor het risico dat zij niet de zorg krijgen die zij nodig hebben en zich niet tijdig kunnen verweren.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9">
      <w:pPr>
        <w:spacing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rFonts w:ascii="Roboto" w:cs="Roboto" w:eastAsia="Roboto" w:hAnsi="Roboto"/>
            <w:color w:val="0b57d0"/>
            <w:sz w:val="21"/>
            <w:szCs w:val="21"/>
            <w:rtl w:val="0"/>
          </w:rPr>
          <w:t xml:space="preserve">https://www.cbs.nl/nl-nl/nieuws/2025/20/vaker-zorg-vanuit-de-wmo-meer-jongvolwassenen-kregen-hulp</w:t>
        </w:r>
      </w:hyperlink>
      <w:r w:rsidDel="00000000" w:rsidR="00000000" w:rsidRPr="00000000">
        <w:rPr>
          <w:rtl w:val="0"/>
        </w:rPr>
      </w:r>
    </w:p>
    <w:p w:rsidR="00000000" w:rsidDel="00000000" w:rsidP="00000000" w:rsidRDefault="00000000" w:rsidRPr="00000000" w14:paraId="0000002A">
      <w:pPr>
        <w:rPr>
          <w:rFonts w:ascii="Roboto" w:cs="Roboto" w:eastAsia="Roboto" w:hAnsi="Roboto"/>
          <w:color w:val="0b57d0"/>
          <w:sz w:val="21"/>
          <w:szCs w:val="21"/>
        </w:rPr>
      </w:pPr>
      <w:hyperlink r:id="rId2">
        <w:r w:rsidDel="00000000" w:rsidR="00000000" w:rsidRPr="00000000">
          <w:rPr>
            <w:rFonts w:ascii="Roboto" w:cs="Roboto" w:eastAsia="Roboto" w:hAnsi="Roboto"/>
            <w:color w:val="0b57d0"/>
            <w:sz w:val="21"/>
            <w:szCs w:val="21"/>
            <w:rtl w:val="0"/>
          </w:rPr>
          <w:t xml:space="preserve">https://www.cbs.nl/nl-nl/longread/rapportages/2024/jeugdhulp-1e-halfjaar-2024?onepage=true</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nieuws/2025/20/vaker-zorg-vanuit-de-wmo-meer-jongvolwassenen-kregen-hulp" TargetMode="External"/><Relationship Id="rId2" Type="http://schemas.openxmlformats.org/officeDocument/2006/relationships/hyperlink" Target="https://www.cbs.nl/nl-nl/longread/rapportages/2024/jeugdhulp-1e-halfjaar-2024?onep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